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鼎盛东街道办事处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根据《三河市鼎盛东街道办事处职能配置、内设机构和人员编制规定》， 三河市鼎盛东街道办事处的主要职责是：</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1.宣传贯彻执行党的路线方针政策和党中央、上级党组织的决议。贯彻执行法律、法规、规章和上级人民代表大会及其常务委员会决议及上级政府的决定、命令，依法管理辖区公共事务。</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3.负责办理上级人大常委会交办的监督、选举以及其他工作，做好人大代表工作，联系选民、反映群众意见和要求。</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5.街道党工委领导群团组织，加强指导和规范，支持和保证群团组织依照国家法律法规以及各自章程履行职责。坚持党管武装的根本原则和制度，协调各方力量，对街道人民武装工作实行统一领导。</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6.指导居民委员会等基层群众性自治组织建设，健全自治平台。组织动员社区居民、单位和社会力量参与社区治理，整合辖区内社会力量，形成社区共治合力，为社区发展服务。对社区工作者队伍进行教育管理。</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7.按照管理权限，对街道机关及所属单位干部进行教育、培训、选拔、考核和监督，对上级政府职能部门派出机构的工作考核和主要负责同志任免提出意见。</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8.组织维护辖区安全稳定，协调推动社会治安综合治理，做好应急管理、民族宗教工作，承担民兵预备役、征兵、退役军人服务、拥军优属、防范邪教等工作。</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9.组织开展群众性文化、体育、科普活动，开展法治宣传和社会公德教育，推动社区公益事业发展。维护老年人、妇女、未成年人、残疾人等合法权益。</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10.参与辖区设施规划、建设和验收，综合管理、统筹调度和考核督办涉及辖区的公共事务，按照有关规定统筹使用下沉到街道社区的人财物等资源。</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11.承办上级党委、人大、政府交办的其他事项。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三河市鼎盛东街道办事处本级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2931.78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2925.22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color w:val="auto"/>
          <w:sz w:val="32"/>
          <w:szCs w:val="32"/>
          <w:lang w:eastAsia="zh-CN"/>
        </w:rPr>
        <w:t>国有资本经营预算收入</w:t>
      </w:r>
      <w:r>
        <w:rPr>
          <w:rFonts w:hint="eastAsia" w:ascii="Times New Roman" w:hAnsi="Times New Roman" w:eastAsia="仿宋_GB2312" w:cs="Times New Roman"/>
          <w:color w:val="auto"/>
          <w:sz w:val="32"/>
          <w:szCs w:val="32"/>
          <w:lang w:val="en-US" w:eastAsia="zh-CN"/>
        </w:rPr>
        <w:t>3.7万元，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2.86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2931.78</w:t>
      </w:r>
      <w:r>
        <w:rPr>
          <w:rFonts w:ascii="Times New Roman" w:hAnsi="Times New Roman" w:eastAsia="仿宋_GB2312" w:cs="Times New Roman"/>
          <w:sz w:val="32"/>
          <w:szCs w:val="32"/>
        </w:rPr>
        <w:t>万元，其中基本支出1277.23万元，包括人员类项目经费</w:t>
      </w:r>
      <w:r>
        <w:rPr>
          <w:rFonts w:hint="eastAsia" w:ascii="Times New Roman" w:hAnsi="Times New Roman" w:eastAsia="仿宋_GB2312" w:cs="Times New Roman"/>
          <w:sz w:val="32"/>
          <w:szCs w:val="32"/>
          <w:lang w:val="en-US" w:eastAsia="zh-CN"/>
        </w:rPr>
        <w:t>1113.43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163.80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1654.55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社区工作运行经费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社区办公经费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社区党组织服务群众专项经费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2931.78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22.29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147.4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125.11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鼎盛东街道铁路沿线环境改造工程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163.80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14.57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1.15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eastAsia="zh-CN"/>
        </w:rPr>
        <w:t>，其中公务用车运维费及公务接待费与</w:t>
      </w:r>
      <w:r>
        <w:rPr>
          <w:rFonts w:hint="eastAsia" w:ascii="Times New Roman" w:hAnsi="Times New Roman" w:eastAsia="仿宋_GB2312" w:cs="Times New Roman"/>
          <w:color w:val="auto"/>
          <w:sz w:val="32"/>
          <w:szCs w:val="32"/>
          <w:highlight w:val="none"/>
          <w:lang w:val="en-US" w:eastAsia="zh-CN"/>
        </w:rPr>
        <w:t>2021年相比均持平</w:t>
      </w:r>
      <w:r>
        <w:rPr>
          <w:rFonts w:hint="eastAsia" w:ascii="Times New Roman" w:hAnsi="Times New Roman" w:eastAsia="仿宋_GB2312" w:cs="Times New Roman"/>
          <w:color w:val="auto"/>
          <w:sz w:val="32"/>
          <w:szCs w:val="32"/>
          <w:highlight w:val="none"/>
          <w:lang w:eastAsia="zh-CN"/>
        </w:rPr>
        <w:t>，主要原因是公务用车情况及公务接待情况与上年情况基本相同。</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及今后一个时期是全面贯彻落实党的十九大精神的关键时期，街道办事处是落实全市各项工作的职能单位之一，肩负着市委、市政府所分配给街道社区的工作职能。因此，鼎盛东街道党委、办事处要在市委市政府的正确领导下，强化社区建设，积极落实民政民生政策，全面推进辖区党建，开展党风廉政及反腐工作，维护辖区安全稳定，推动社会治安综合治理，开展群众性文化活动，推动社区公益事业发展，提高居民区基础设施配置标准，加强辖区综合管理，统筹规划，把辖区建设成规划合理、环境优美、城市功能完备的先进街道。</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夯实基层组织，强化阵地建设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按照“党建引领、区域联动、共商共建、共治共享”的工作思路，以社区党组织为龙头，采用共建、联席、分类等方式，充分整合区域资源，努力做到优势互补，形成党建阵地多元化、活动阵地全覆盖。</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构建区域化党建大格局，提升基层党组织建设水平。扩大两新组织覆盖面，发挥辐射带动作用，协调各方力量，汇聚区域资源，深化协商共治，共谋惠民实事，共享发展红利。因地制宜，分类施策，全力推动党建引领社区物业管理。实行“六位一体”常态化管理模式，以老旧小区改造为契机，组建“红色物业服务站”“红色物业联盟”，以点带面、连点成线，助推区域化党建领导社区建设上水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强化社会治安综合治理，创造和谐稳定社区环境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绩效目标：强化责任意识，规范信访行为，畅通信访渠道，实现信访工作有序、稳定，维护群众合法权益，确保社会大局稳定。以群众工作为统揽，以平安建设为主线，为辖区社会发展营造良好环境。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充分发挥群众作用，构建群防群治的自治网络。推行一线工作法，推动干部深入基层，了解问题，发现问题，解决问题，快调快处，做到小事不出街，大事不出市，维护社会大局稳定。坚决完成年全国“两会”等重大活动赴京值班以及省、廊坊“两会”值守、戴河暑期安保等重大活动的信访维稳值班值守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履行安全生产责任制，确保不出安全隐患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绩效目标：深化安全生产大排查大整治攻坚行动，加大隐患排查和问题整改力度，坚决防范重特大事故发生。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域内居民和企业强化思想宣传，开展消防安全专项知识讲座和应急演练，切实增强安全生产意识。对域内学校、宾馆、饭店、商场、网吧等人员密集场所强化巡查排查，在重要节日期间对重点部位开展应急值守。开展“防风险、除隐患、保安全”安全生产大排查大整治。不定期对642家液化石油气场所、374家沿街商铺开展检查，发现隐患，限期整改；督导防疫场所、农贸市场、出租屋等重点部位各类消防设施配备情况；对498户气代煤用户入户摸排，加大协管员培训力度，发现问题及时整改；确保不发生各类安全生产责任事故。</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全面提升污染防治工作水平，坚决打赢环境保护攻坚战</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绩效目标：大气污染防治攻坚行动全面铺开，严格落实重污染天气扬尘管控治理，开展河渠长制常态化巡河工作，着力做好“气代煤”散煤排查治理工作。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建立健全巡查机制，加大扬尘污染的管控，积极配合市直有关部门开展建筑工地扬尘、渣土苫盖、垃圾焚烧、露天烧烤等问题专项整治。不间断对2725户平房院开展拉网式排查，对498户“气代煤”用户实行动态管理。开展河渠长制常态化巡河，加大对4个排污口的排查监管，发现问题及时解决，确保我市空气质量明显改善。</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做好民生保障工作，提升居民幸福感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贯彻落实民政、优抚、社会救助等工作的各项政策和法规，走访慰问辖区内低保户、低收入家庭、病残居民，确保民政优抚工作落实到位。充分发挥劳动事务保障所作用，促进辖区居民就业与再就业工作，做好城镇居民养老、医疗保险的收缴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大宣传力度，通过发放明白纸、入户指导缴费、LED屏和微信等媒体平台广泛宣传政策，积极引导居民网上自助缴费，全面提高城镇居民医疗和养老保险工作覆盖面。通过社区走访、邻里反映，结合社区残疾居民、家庭困难学生调查等相关信息，进一步多渠道深入了解其他居民家庭生活状况，对符合条件的及时录入系统，做到应保尽保推进低保扩面工作，针对大病、重残等情况精准施策、对症下药。对因重大灾难、疾病、突发事故等原因造成的刚性支出较大的家庭，做好临时救助工作。及时对残疾人进行动态更新，实现残疾人需求与服务供给的对接，做好残疾儿童康复救助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严打黑恶违法犯罪，促进社会和谐稳定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绩效目标：继续加强涉黑涉恶线索摸排，继续坚持广泛排查、持续发力、严格责任追究，任何线索坚决不予放过。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绩效指标：继续提高政治站位，常态化推进坚持扫黑除恶专项斗争不放松，加大扫黑除恶专项斗争的宣传力度，鼓励人民群众勇敢参与到检举揭发黑恶势力的工作中来，使扫黑除恶专项斗争深入更加人心。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保持高压态势，全面推进禁毒工作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绩效目标：形成各负其责，齐抓共管的工作局面，开展涉毒排查，继续深入开展出租房屋涉毒清查整治专项行动。</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绩效指标：持续广泛深入宣传，发动全民参与。开展禁毒“九进”宣传，对12个社区开展地毯式清查、“无人机”勘察和实地踏查，遏制新吸毒人员的滋生。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健全文化服务阵地，提升人文软实力</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绩效目标：开展丰富多彩的社区活动，完善群众文化活动机制，提高群众文化生活水平。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强未成年人思想道德建设，积极开展“关爱未成年人健康成长”主题活动；坚持国学教育进社区，依托“我们的节日”，弘扬中华优秀传统文化，提升公民整体道德素质；精心筹划，打造社区文化亮点，鼓励12个社区开展“一区一品”文化创建活动，满足居民求知、求乐、求健康的需求,提升社区的文化内涵，加大文明社区、文明家庭、文明标兵等群众性精神文明活动创建力度，发挥典型引领的示范作用，带动社区服务水平全面提高。</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提升政治站位，全面落实退役军人服务保障工作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绩效目标：认真做好退役军人思想政治工作和党员教育管理工作，引领退役军人践行新思想、适应新时代，展现新作为。</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认真办理退役军人反映的诉求，对合理合法的信访事项，及时妥善解决；对不合理诉求，加强政策解释宣传，成功化解信访案件。积极开展双拥工作，利用春节、“八一”建军节等重要节日走访慰问辖区1100多名退伍、现役军人家庭。落实包联机制，在日常工作生活中，注重与退役军人联络感情，及时了解他们的生活现状和思想动态，牢牢抓住工作主动权，及时化解不稳定因素。</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完善制度建设。制定完善预算绩效管理制度、资金管理办法、工作保障制度等，为全年预算绩效目标的实现奠定制度基础。</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加强支出管理。通过优化支出结构、编细编实预算、加快履行政府采购手续、尽快启动项目、及时支付资金等多种措施，确保支出进度达标。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加强绩效运行监控。按要求开展绩效运行监控，发现问题及时采取措施，确保绩效目标如期保质实现。</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规范财务资产管理。完善财务管理制度，严格审批程序，加强固定资产登记、使用和报废处置管理，做到支出合理，物尽其用。</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637"/>
        <w:gridCol w:w="870"/>
        <w:gridCol w:w="1620"/>
        <w:gridCol w:w="1020"/>
        <w:gridCol w:w="585"/>
        <w:gridCol w:w="420"/>
        <w:gridCol w:w="480"/>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0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48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6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637" w:type="dxa"/>
            <w:vMerge w:val="continue"/>
            <w:tcBorders>
              <w:tl2br w:val="nil"/>
              <w:tr2bl w:val="nil"/>
            </w:tcBorders>
            <w:vAlign w:val="center"/>
          </w:tcPr>
          <w:p/>
        </w:tc>
        <w:tc>
          <w:tcPr>
            <w:tcW w:w="870" w:type="dxa"/>
            <w:vMerge w:val="continue"/>
            <w:tcBorders>
              <w:tl2br w:val="nil"/>
              <w:tr2bl w:val="nil"/>
            </w:tcBorders>
            <w:vAlign w:val="center"/>
          </w:tcPr>
          <w:p/>
        </w:tc>
        <w:tc>
          <w:tcPr>
            <w:tcW w:w="1620" w:type="dxa"/>
            <w:vMerge w:val="continue"/>
            <w:tcBorders>
              <w:tl2br w:val="nil"/>
              <w:tr2bl w:val="nil"/>
            </w:tcBorders>
            <w:vAlign w:val="center"/>
          </w:tcPr>
          <w:p/>
        </w:tc>
        <w:tc>
          <w:tcPr>
            <w:tcW w:w="1020" w:type="dxa"/>
            <w:vMerge w:val="continue"/>
            <w:tcBorders>
              <w:tl2br w:val="nil"/>
              <w:tr2bl w:val="nil"/>
            </w:tcBorders>
            <w:vAlign w:val="center"/>
          </w:tcPr>
          <w:p/>
        </w:tc>
        <w:tc>
          <w:tcPr>
            <w:tcW w:w="5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62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开展违建排查拆除次数</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开展违建排查拆除次数</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3</w:t>
            </w:r>
          </w:p>
        </w:tc>
        <w:tc>
          <w:tcPr>
            <w:tcW w:w="4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处</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工作完成率</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实际完成社区工作占应完成社区工作的比率</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4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资金拨付及时率</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及时拨付的资金占拨付资金的比率</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4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一般性支出压减率=[（上年度一般性支出额-本年度一般性支出额）/上年度一般性支出额]×100%。</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3</w:t>
            </w:r>
          </w:p>
        </w:tc>
        <w:tc>
          <w:tcPr>
            <w:tcW w:w="4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bookmarkStart w:id="2" w:name="_GoBack"/>
            <w:bookmarkEnd w:id="2"/>
            <w:r>
              <w:rPr>
                <w:rFonts w:hint="eastAsia" w:ascii="方正书宋_GBK" w:eastAsia="方正书宋_GBK"/>
              </w:rPr>
              <w:t>效果</w:t>
            </w: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提高小区居民幸福指数</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提高小区居民幸福指数</w:t>
            </w:r>
          </w:p>
        </w:tc>
        <w:tc>
          <w:tcPr>
            <w:tcW w:w="58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20" w:type="dxa"/>
            <w:tcBorders>
              <w:tl2br w:val="nil"/>
              <w:tr2bl w:val="nil"/>
            </w:tcBorders>
            <w:vAlign w:val="center"/>
          </w:tcPr>
          <w:p>
            <w:pPr>
              <w:widowControl/>
              <w:adjustRightInd w:val="0"/>
              <w:snapToGrid w:val="0"/>
              <w:jc w:val="center"/>
              <w:rPr>
                <w:rFonts w:ascii="方正书宋_GBK" w:eastAsia="方正书宋_GBK"/>
              </w:rPr>
            </w:pPr>
          </w:p>
        </w:tc>
        <w:tc>
          <w:tcPr>
            <w:tcW w:w="4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明显提升</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70" w:type="dxa"/>
            <w:tcBorders>
              <w:tl2br w:val="nil"/>
              <w:tr2bl w:val="nil"/>
            </w:tcBorders>
            <w:vAlign w:val="center"/>
          </w:tcPr>
          <w:p>
            <w:pPr>
              <w:widowControl/>
              <w:adjustRightInd w:val="0"/>
              <w:snapToGrid w:val="0"/>
              <w:rPr>
                <w:rFonts w:ascii="方正书宋_GBK" w:eastAsia="方正书宋_GBK"/>
              </w:rPr>
            </w:pPr>
          </w:p>
        </w:tc>
        <w:tc>
          <w:tcPr>
            <w:tcW w:w="1620" w:type="dxa"/>
            <w:tcBorders>
              <w:tl2br w:val="nil"/>
              <w:tr2bl w:val="nil"/>
            </w:tcBorders>
            <w:vAlign w:val="center"/>
          </w:tcPr>
          <w:p>
            <w:pPr>
              <w:widowControl/>
              <w:adjustRightInd w:val="0"/>
              <w:snapToGrid w:val="0"/>
              <w:rPr>
                <w:rFonts w:ascii="方正书宋_GBK" w:eastAsia="方正书宋_GBK"/>
              </w:rPr>
            </w:pPr>
          </w:p>
        </w:tc>
        <w:tc>
          <w:tcPr>
            <w:tcW w:w="1020" w:type="dxa"/>
            <w:tcBorders>
              <w:tl2br w:val="nil"/>
              <w:tr2bl w:val="nil"/>
            </w:tcBorders>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rPr>
                <w:rFonts w:ascii="方正书宋_GBK" w:eastAsia="方正书宋_GBK"/>
              </w:rPr>
            </w:pPr>
          </w:p>
        </w:tc>
        <w:tc>
          <w:tcPr>
            <w:tcW w:w="420" w:type="dxa"/>
            <w:tcBorders>
              <w:tl2br w:val="nil"/>
              <w:tr2bl w:val="nil"/>
            </w:tcBorders>
            <w:vAlign w:val="center"/>
          </w:tcPr>
          <w:p>
            <w:pPr>
              <w:widowControl/>
              <w:adjustRightInd w:val="0"/>
              <w:snapToGrid w:val="0"/>
              <w:rPr>
                <w:rFonts w:ascii="方正书宋_GBK" w:eastAsia="方正书宋_GBK"/>
              </w:rPr>
            </w:pPr>
          </w:p>
        </w:tc>
        <w:tc>
          <w:tcPr>
            <w:tcW w:w="480" w:type="dxa"/>
            <w:tcBorders>
              <w:tl2br w:val="nil"/>
              <w:tr2bl w:val="nil"/>
            </w:tcBorders>
            <w:vAlign w:val="center"/>
          </w:tcPr>
          <w:p>
            <w:pPr>
              <w:widowControl/>
              <w:adjustRightInd w:val="0"/>
              <w:snapToGrid w:val="0"/>
              <w:rPr>
                <w:rFonts w:ascii="方正书宋_GBK" w:eastAsia="方正书宋_GBK"/>
              </w:rPr>
            </w:pPr>
          </w:p>
        </w:tc>
        <w:tc>
          <w:tcPr>
            <w:tcW w:w="262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70" w:type="dxa"/>
            <w:tcBorders>
              <w:tl2br w:val="nil"/>
              <w:tr2bl w:val="nil"/>
            </w:tcBorders>
            <w:vAlign w:val="center"/>
          </w:tcPr>
          <w:p>
            <w:pPr>
              <w:widowControl/>
              <w:adjustRightInd w:val="0"/>
              <w:snapToGrid w:val="0"/>
              <w:rPr>
                <w:rFonts w:ascii="方正书宋_GBK" w:eastAsia="方正书宋_GBK"/>
              </w:rPr>
            </w:pPr>
          </w:p>
        </w:tc>
        <w:tc>
          <w:tcPr>
            <w:tcW w:w="1620" w:type="dxa"/>
            <w:tcBorders>
              <w:tl2br w:val="nil"/>
              <w:tr2bl w:val="nil"/>
            </w:tcBorders>
            <w:vAlign w:val="center"/>
          </w:tcPr>
          <w:p>
            <w:pPr>
              <w:widowControl/>
              <w:adjustRightInd w:val="0"/>
              <w:snapToGrid w:val="0"/>
              <w:rPr>
                <w:rFonts w:ascii="方正书宋_GBK" w:eastAsia="方正书宋_GBK"/>
              </w:rPr>
            </w:pPr>
          </w:p>
        </w:tc>
        <w:tc>
          <w:tcPr>
            <w:tcW w:w="1020" w:type="dxa"/>
            <w:tcBorders>
              <w:tl2br w:val="nil"/>
              <w:tr2bl w:val="nil"/>
            </w:tcBorders>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rPr>
                <w:rFonts w:ascii="方正书宋_GBK" w:eastAsia="方正书宋_GBK"/>
              </w:rPr>
            </w:pPr>
          </w:p>
        </w:tc>
        <w:tc>
          <w:tcPr>
            <w:tcW w:w="420" w:type="dxa"/>
            <w:tcBorders>
              <w:tl2br w:val="nil"/>
              <w:tr2bl w:val="nil"/>
            </w:tcBorders>
            <w:vAlign w:val="center"/>
          </w:tcPr>
          <w:p>
            <w:pPr>
              <w:widowControl/>
              <w:adjustRightInd w:val="0"/>
              <w:snapToGrid w:val="0"/>
              <w:rPr>
                <w:rFonts w:ascii="方正书宋_GBK" w:eastAsia="方正书宋_GBK"/>
              </w:rPr>
            </w:pPr>
          </w:p>
        </w:tc>
        <w:tc>
          <w:tcPr>
            <w:tcW w:w="480" w:type="dxa"/>
            <w:tcBorders>
              <w:tl2br w:val="nil"/>
              <w:tr2bl w:val="nil"/>
            </w:tcBorders>
            <w:vAlign w:val="center"/>
          </w:tcPr>
          <w:p>
            <w:pPr>
              <w:widowControl/>
              <w:adjustRightInd w:val="0"/>
              <w:snapToGrid w:val="0"/>
              <w:rPr>
                <w:rFonts w:ascii="方正书宋_GBK" w:eastAsia="方正书宋_GBK"/>
              </w:rPr>
            </w:pPr>
          </w:p>
        </w:tc>
        <w:tc>
          <w:tcPr>
            <w:tcW w:w="262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70" w:type="dxa"/>
            <w:tcBorders>
              <w:tl2br w:val="nil"/>
              <w:tr2bl w:val="nil"/>
            </w:tcBorders>
            <w:noWrap/>
            <w:vAlign w:val="center"/>
          </w:tcPr>
          <w:p>
            <w:pPr>
              <w:widowControl/>
              <w:adjustRightInd w:val="0"/>
              <w:snapToGrid w:val="0"/>
              <w:rPr>
                <w:rFonts w:ascii="方正书宋_GBK" w:eastAsia="方正书宋_GBK"/>
              </w:rPr>
            </w:pPr>
          </w:p>
        </w:tc>
        <w:tc>
          <w:tcPr>
            <w:tcW w:w="1620" w:type="dxa"/>
            <w:tcBorders>
              <w:tl2br w:val="nil"/>
              <w:tr2bl w:val="nil"/>
            </w:tcBorders>
            <w:noWrap/>
            <w:vAlign w:val="center"/>
          </w:tcPr>
          <w:p>
            <w:pPr>
              <w:widowControl/>
              <w:adjustRightInd w:val="0"/>
              <w:snapToGrid w:val="0"/>
              <w:rPr>
                <w:rFonts w:ascii="方正书宋_GBK" w:eastAsia="方正书宋_GBK"/>
              </w:rPr>
            </w:pPr>
          </w:p>
        </w:tc>
        <w:tc>
          <w:tcPr>
            <w:tcW w:w="1020" w:type="dxa"/>
            <w:tcBorders>
              <w:tl2br w:val="nil"/>
              <w:tr2bl w:val="nil"/>
            </w:tcBorders>
            <w:noWrap/>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jc w:val="center"/>
              <w:rPr>
                <w:rFonts w:ascii="方正书宋_GBK" w:eastAsia="方正书宋_GBK"/>
              </w:rPr>
            </w:pPr>
          </w:p>
        </w:tc>
        <w:tc>
          <w:tcPr>
            <w:tcW w:w="420" w:type="dxa"/>
            <w:tcBorders>
              <w:tl2br w:val="nil"/>
              <w:tr2bl w:val="nil"/>
            </w:tcBorders>
            <w:vAlign w:val="center"/>
          </w:tcPr>
          <w:p>
            <w:pPr>
              <w:widowControl/>
              <w:adjustRightInd w:val="0"/>
              <w:snapToGrid w:val="0"/>
              <w:jc w:val="center"/>
              <w:rPr>
                <w:rFonts w:ascii="方正书宋_GBK" w:eastAsia="方正书宋_GBK"/>
              </w:rPr>
            </w:pPr>
          </w:p>
        </w:tc>
        <w:tc>
          <w:tcPr>
            <w:tcW w:w="480" w:type="dxa"/>
            <w:tcBorders>
              <w:tl2br w:val="nil"/>
              <w:tr2bl w:val="nil"/>
            </w:tcBorders>
            <w:vAlign w:val="center"/>
          </w:tcPr>
          <w:p>
            <w:pPr>
              <w:widowControl/>
              <w:adjustRightInd w:val="0"/>
              <w:snapToGrid w:val="0"/>
              <w:jc w:val="center"/>
              <w:rPr>
                <w:rFonts w:ascii="方正书宋_GBK" w:eastAsia="方正书宋_GBK"/>
              </w:rPr>
            </w:pPr>
          </w:p>
        </w:tc>
        <w:tc>
          <w:tcPr>
            <w:tcW w:w="262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7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服务对象的满意度</w:t>
            </w:r>
          </w:p>
        </w:tc>
        <w:tc>
          <w:tcPr>
            <w:tcW w:w="162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调查中满意和较满意的人数占调查总人数的比率</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4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rPr>
          <w:rFonts w:hint="eastAsia" w:ascii="Times New Roman" w:hAnsi="宋体"/>
          <w:b/>
          <w:sz w:val="28"/>
        </w:rPr>
      </w:pPr>
      <w:r>
        <w:rPr>
          <w:rFonts w:hint="eastAsia" w:ascii="方正仿宋_GBK" w:eastAsia="方正仿宋_GBK"/>
          <w:b/>
          <w:sz w:val="28"/>
        </w:rPr>
        <w:t>1、安全生产经费绩效目标表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615"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1.通过安全生产隐患排查、日常监管、开展安全生产日教育活动，宣传资料发放等，达到加强安全生产管理、提高居民安全意识，预防事故发生，保障居民人身安全，保障辖区稳定的目的。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80"/>
        <w:gridCol w:w="1980"/>
        <w:gridCol w:w="2925"/>
        <w:gridCol w:w="1125"/>
        <w:gridCol w:w="5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安全生产查排社区数量</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安全生产查排社区数量</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12个</w:t>
            </w:r>
          </w:p>
        </w:tc>
        <w:tc>
          <w:tcPr>
            <w:tcW w:w="51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社区工作完成率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实际完成社区工作占应完成社区工作的比率</w:t>
            </w:r>
          </w:p>
        </w:tc>
        <w:tc>
          <w:tcPr>
            <w:tcW w:w="11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8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时效指标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资金发放及时率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及时发放的资金占应发放资金的比率</w:t>
            </w:r>
          </w:p>
        </w:tc>
        <w:tc>
          <w:tcPr>
            <w:tcW w:w="11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平均成本</w:t>
            </w:r>
          </w:p>
        </w:tc>
        <w:tc>
          <w:tcPr>
            <w:tcW w:w="29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每个社区的平均成本</w:t>
            </w:r>
          </w:p>
        </w:tc>
        <w:tc>
          <w:tcPr>
            <w:tcW w:w="11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≤0.3万元</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8"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hAnsi="Calibri" w:eastAsia="方正书宋_GBK" w:cs="Arial"/>
                <w:kern w:val="2"/>
                <w:sz w:val="21"/>
                <w:szCs w:val="22"/>
                <w:lang w:val="en-US" w:eastAsia="zh-CN" w:bidi="ar-SA"/>
              </w:rPr>
              <w:t>社会效益指标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t>保障居民安全，促进社会稳定</w:t>
            </w:r>
          </w:p>
        </w:tc>
        <w:tc>
          <w:tcPr>
            <w:tcW w:w="29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保障居民安全，促进社会稳定</w:t>
            </w:r>
          </w:p>
        </w:tc>
        <w:tc>
          <w:tcPr>
            <w:tcW w:w="11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效果显著</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调查中满意和较满意的人数占调查总人数的比率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hAnsi="Calibri" w:eastAsia="方正书宋_GBK" w:cs="Arial"/>
                <w:kern w:val="2"/>
                <w:sz w:val="21"/>
                <w:szCs w:val="22"/>
                <w:lang w:val="en-US" w:eastAsia="zh-CN" w:bidi="ar-SA"/>
              </w:rPr>
              <w:t>≥90%</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Times New Roman" w:hAnsi="宋体"/>
          <w:b/>
          <w:sz w:val="28"/>
        </w:rPr>
      </w:pPr>
      <w:r>
        <w:rPr>
          <w:rFonts w:hint="eastAsia" w:ascii="方正仿宋_GBK" w:eastAsia="方正仿宋_GBK"/>
          <w:b/>
          <w:sz w:val="28"/>
          <w:lang w:val="en-US" w:eastAsia="zh-CN"/>
        </w:rPr>
        <w:t>2</w:t>
      </w:r>
      <w:r>
        <w:rPr>
          <w:rFonts w:hint="eastAsia" w:ascii="方正仿宋_GBK" w:eastAsia="方正仿宋_GBK"/>
          <w:b/>
          <w:sz w:val="28"/>
        </w:rPr>
        <w:t>、保安聘用费绩效目标表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1.通过雇佣安保人员，达到维护机关秩序安全稳定，保障机关财产安全的目的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95"/>
        <w:gridCol w:w="1980"/>
        <w:gridCol w:w="2925"/>
        <w:gridCol w:w="1125"/>
        <w:gridCol w:w="5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聘用人员人数</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聘用的保安人员数</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9</w:t>
            </w:r>
            <w:r>
              <w:rPr>
                <w:rFonts w:hint="eastAsia" w:ascii="方正书宋_GBK" w:eastAsia="方正书宋_GBK"/>
              </w:rPr>
              <w:t>人</w:t>
            </w:r>
          </w:p>
        </w:tc>
        <w:tc>
          <w:tcPr>
            <w:tcW w:w="513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安保人员服务质量合格率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w:t>
            </w:r>
            <w:r>
              <w:rPr>
                <w:rFonts w:ascii="方正书宋_GBK" w:eastAsia="方正书宋_GBK"/>
              </w:rPr>
              <w:t>24</w:t>
            </w:r>
            <w:r>
              <w:rPr>
                <w:rFonts w:hint="eastAsia" w:ascii="方正书宋_GBK" w:eastAsia="方正书宋_GBK"/>
              </w:rPr>
              <w:t>小时不空岗，较好完成来访人员登记及来访车辆管理及街道安排的具体工作</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安保人员人均薪资</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安保人员人均薪资</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≤5.33万元/人</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维护机关秩序安全稳定，保障机关</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项目实施对机关秩序安全及财产安全的保障程度</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r>
              <w:rPr>
                <w:rFonts w:ascii="方正书宋_GBK" w:eastAsia="方正书宋_GBK"/>
              </w:rPr>
              <w:t>%</w:t>
            </w:r>
            <w:r>
              <w:rPr>
                <w:rFonts w:hint="eastAsia" w:ascii="方正书宋_GBK" w:eastAsia="方正书宋_GBK"/>
              </w:rPr>
              <w:t>）</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调查中满意和较满意的机关工作人员人数占全部调查人数的比率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3</w:t>
      </w:r>
      <w:r>
        <w:rPr>
          <w:rFonts w:hint="eastAsia" w:ascii="方正仿宋_GBK" w:eastAsia="方正仿宋_GBK"/>
          <w:b/>
          <w:sz w:val="28"/>
        </w:rPr>
        <w:t>、城镇无业居民独生子女父母奖励金绩效目标表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1.通过保障城镇无业居民独生子女父母奖励金发放工作顺利完成，达到落实惠民政策，进一步提升对无业独生子女父母生活保障的目的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10"/>
        <w:gridCol w:w="1980"/>
        <w:gridCol w:w="2925"/>
        <w:gridCol w:w="1110"/>
        <w:gridCol w:w="5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发放奖励人员总数</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领取奖励人员总数</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140</w:t>
            </w:r>
            <w:r>
              <w:rPr>
                <w:rFonts w:hint="eastAsia" w:ascii="方正书宋_GBK" w:eastAsia="方正书宋_GBK"/>
              </w:rPr>
              <w:t>人</w:t>
            </w:r>
          </w:p>
        </w:tc>
        <w:tc>
          <w:tcPr>
            <w:tcW w:w="513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奖励金每足额发放率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奖励金足额发放人数占应发放人数比率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及时发放的奖励金占应发奖励金的比率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奖励金发放标准</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奖励金每人每月发放标准</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保障城镇无业独生子女父母生活</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发放城镇无业独生子女父母奖励金对城镇无业独生子女父母生活的保障程度</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持续保障</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城镇无业独生子女父母满意度</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城镇无业独生子女父母满意和较满意的人数占领取总人数的利率</w:t>
            </w:r>
          </w:p>
        </w:tc>
        <w:tc>
          <w:tcPr>
            <w:tcW w:w="11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4</w:t>
      </w:r>
      <w:r>
        <w:rPr>
          <w:rFonts w:hint="eastAsia" w:ascii="方正仿宋_GBK" w:eastAsia="方正仿宋_GBK"/>
          <w:b/>
          <w:sz w:val="28"/>
        </w:rPr>
        <w:t>、党群组织综合业务费绩效目标表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1.通过保障各项工作经费，开展扫黑除恶、禁毒教育、党风廉政、环保巡查、征兵宣传、团妇联等活动，达到提升辖区居民生活质量，维护辖区安全稳定的目的。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40"/>
        <w:gridCol w:w="1965"/>
        <w:gridCol w:w="2925"/>
        <w:gridCol w:w="1110"/>
        <w:gridCol w:w="5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宣传覆盖社区数量</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宣传活动覆盖社区的数量</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w:t>
            </w:r>
          </w:p>
        </w:tc>
        <w:tc>
          <w:tcPr>
            <w:tcW w:w="51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社区工作完成率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实际完成社区工作占应完成社区工作的比率</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100</w:t>
            </w:r>
            <w:r>
              <w:rPr>
                <w:rFonts w:ascii="方正书宋_GBK" w:eastAsia="方正书宋_GBK"/>
              </w:rPr>
              <w:t>%</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1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每个社区平均成本</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≤1万元</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提升社区党群组织凝聚力</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通过举办各项党群组织活动，提升党群组织凝聚力</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辖区居民满意度指标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调查中满意和较满意人数占调查人数的比率</w:t>
            </w:r>
          </w:p>
        </w:tc>
        <w:tc>
          <w:tcPr>
            <w:tcW w:w="11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5</w:t>
      </w:r>
      <w:r>
        <w:rPr>
          <w:rFonts w:hint="eastAsia" w:ascii="方正仿宋_GBK" w:eastAsia="方正仿宋_GBK"/>
          <w:b/>
          <w:sz w:val="28"/>
        </w:rPr>
        <w:t>、档案业务经费绩效目标表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1.通过建设档案室，达到提升机关档案室建设水平，使档案存储、查阅更便利、更合理，提升单位档案存储环境的目的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25"/>
        <w:gridCol w:w="1965"/>
        <w:gridCol w:w="2925"/>
        <w:gridCol w:w="1140"/>
        <w:gridCol w:w="5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资金应用工作项数</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资金应用工作项数</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5项</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质量指标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工作完成率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实际完成的工作占应完成工作的比率</w:t>
            </w:r>
          </w:p>
        </w:tc>
        <w:tc>
          <w:tcPr>
            <w:tcW w:w="1140" w:type="dxa"/>
            <w:shd w:val="clear" w:color="auto" w:fill="auto"/>
            <w:noWrap w:val="0"/>
            <w:vAlign w:val="center"/>
          </w:tcPr>
          <w:p>
            <w:pPr>
              <w:spacing w:line="300" w:lineRule="exact"/>
              <w:jc w:val="left"/>
              <w:rPr>
                <w:rFonts w:hint="default"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时效指标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资金拨付及时率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及时拨付的资金占应拨付资金的比率</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成本指标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平均成本</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每项工作平均成本</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≤0.1万元</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社会效益指标</w:t>
            </w:r>
          </w:p>
        </w:tc>
        <w:tc>
          <w:tcPr>
            <w:tcW w:w="196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档案存储、查阅更便利、更合理</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档案存储、查阅更便利、更合理</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明显提升</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服务对象满意度指标</w:t>
            </w:r>
          </w:p>
        </w:tc>
        <w:tc>
          <w:tcPr>
            <w:tcW w:w="196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工作人员满意度指标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调查中满意和较满意的工作人员人数占全部调查人数的比率</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≥90%</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问卷调查</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6、社区办公经费绩效目标表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1.通过改善社区办公环境，达到提升办事效率及服务质量，顺利完成社区各项工作的目的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22"/>
        <w:gridCol w:w="1980"/>
        <w:gridCol w:w="2925"/>
        <w:gridCol w:w="1140"/>
        <w:gridCol w:w="5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w:t>
            </w:r>
          </w:p>
        </w:tc>
        <w:tc>
          <w:tcPr>
            <w:tcW w:w="50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社区工作完成率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实际完成社区工作占应完成社区工作的比率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项目实施平均成本</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项目实施平均成本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提升工作效率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居委会工作工作效率提升情况</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调查中满意和较满意的工作人员人数占全部调查人数的比率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7</w:t>
      </w:r>
      <w:r>
        <w:rPr>
          <w:rFonts w:hint="eastAsia" w:ascii="方正仿宋_GBK" w:eastAsia="方正仿宋_GBK"/>
          <w:b/>
          <w:sz w:val="28"/>
        </w:rPr>
        <w:t>、社区党组织服务群众专项经费绩效目标表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1.通过开展文体活动、完善基础设施，达到改善小区环境卫生，提高居民生活质量，创建和谐社区，提升社区整体形象的目的。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65"/>
        <w:gridCol w:w="2940"/>
        <w:gridCol w:w="1140"/>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pStyle w:val="14"/>
              <w:rPr>
                <w:rFonts w:ascii="方正书宋_GBK" w:eastAsia="方正书宋_GBK"/>
              </w:rPr>
            </w:pPr>
            <w:r>
              <w:t>提升社区数量</w:t>
            </w:r>
          </w:p>
        </w:tc>
        <w:tc>
          <w:tcPr>
            <w:tcW w:w="2940" w:type="dxa"/>
            <w:shd w:val="clear" w:color="auto" w:fill="auto"/>
            <w:noWrap w:val="0"/>
            <w:vAlign w:val="center"/>
          </w:tcPr>
          <w:p>
            <w:pPr>
              <w:spacing w:line="300" w:lineRule="exact"/>
              <w:jc w:val="left"/>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用于质量提升的社区数量</w:t>
            </w:r>
          </w:p>
        </w:tc>
        <w:tc>
          <w:tcPr>
            <w:tcW w:w="1140" w:type="dxa"/>
            <w:shd w:val="clear" w:color="auto" w:fill="auto"/>
            <w:noWrap w:val="0"/>
            <w:vAlign w:val="center"/>
          </w:tcPr>
          <w:p>
            <w:pPr>
              <w:spacing w:line="300" w:lineRule="exact"/>
              <w:jc w:val="left"/>
              <w:rPr>
                <w:rFonts w:hint="eastAsia" w:ascii="方正书宋_GBK" w:hAnsi="方正书宋_GBK" w:eastAsia="方正书宋_GBK" w:cs="方正书宋_GBK"/>
                <w:kern w:val="0"/>
                <w:sz w:val="21"/>
                <w:szCs w:val="24"/>
                <w:lang w:val="en-US" w:eastAsia="zh-CN" w:bidi="ar-SA"/>
              </w:rPr>
            </w:pPr>
            <w:r>
              <w:rPr>
                <w:rFonts w:ascii="方正书宋_GBK" w:hAnsi="方正书宋_GBK" w:eastAsia="方正书宋_GBK" w:cs="方正书宋_GBK"/>
                <w:kern w:val="0"/>
                <w:sz w:val="21"/>
                <w:szCs w:val="24"/>
                <w:lang w:val="en-US" w:eastAsia="uk-UA" w:bidi="ar-SA"/>
              </w:rPr>
              <w:t>12</w:t>
            </w:r>
            <w:r>
              <w:rPr>
                <w:rFonts w:hint="eastAsia" w:ascii="方正书宋_GBK" w:hAnsi="方正书宋_GBK" w:eastAsia="方正书宋_GBK" w:cs="方正书宋_GBK"/>
                <w:kern w:val="0"/>
                <w:sz w:val="21"/>
                <w:szCs w:val="24"/>
                <w:lang w:val="en-US" w:eastAsia="zh-CN" w:bidi="ar-SA"/>
              </w:rPr>
              <w:t>个</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65" w:type="dxa"/>
            <w:shd w:val="clear" w:color="auto" w:fill="auto"/>
            <w:noWrap w:val="0"/>
            <w:vAlign w:val="center"/>
          </w:tcPr>
          <w:p>
            <w:pPr>
              <w:pStyle w:val="14"/>
              <w:rPr>
                <w:rFonts w:hint="eastAsia" w:ascii="方正书宋_GBK" w:eastAsia="方正书宋_GBK"/>
              </w:rPr>
            </w:pPr>
            <w:r>
              <w:rPr>
                <w:rFonts w:ascii="方正书宋_GBK" w:hAnsi="方正书宋_GBK" w:eastAsia="方正书宋_GBK" w:cs="方正书宋_GBK"/>
                <w:kern w:val="0"/>
                <w:sz w:val="21"/>
                <w:szCs w:val="24"/>
                <w:lang w:val="en-US" w:eastAsia="uk-UA" w:bidi="ar-SA"/>
              </w:rPr>
              <w:t>社区工作完成率</w:t>
            </w:r>
          </w:p>
        </w:tc>
        <w:tc>
          <w:tcPr>
            <w:tcW w:w="2940" w:type="dxa"/>
            <w:shd w:val="clear" w:color="auto" w:fill="auto"/>
            <w:noWrap w:val="0"/>
            <w:vAlign w:val="center"/>
          </w:tcPr>
          <w:p>
            <w:pPr>
              <w:spacing w:line="300" w:lineRule="exact"/>
              <w:jc w:val="left"/>
              <w:rPr>
                <w:rFonts w:hint="eastAsia"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实际完成社区工作占应完成社区工作的比率</w:t>
            </w:r>
          </w:p>
        </w:tc>
        <w:tc>
          <w:tcPr>
            <w:tcW w:w="1140" w:type="dxa"/>
            <w:shd w:val="clear" w:color="auto" w:fill="auto"/>
            <w:noWrap w:val="0"/>
            <w:vAlign w:val="center"/>
          </w:tcPr>
          <w:p>
            <w:pPr>
              <w:spacing w:line="300" w:lineRule="exact"/>
              <w:jc w:val="left"/>
              <w:rPr>
                <w:rFonts w:hint="eastAsia"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65" w:type="dxa"/>
            <w:shd w:val="clear" w:color="auto" w:fill="auto"/>
            <w:noWrap w:val="0"/>
            <w:vAlign w:val="center"/>
          </w:tcPr>
          <w:p>
            <w:pPr>
              <w:pStyle w:val="14"/>
              <w:rPr>
                <w:rFonts w:hint="eastAsia" w:ascii="方正书宋_GBK" w:eastAsia="方正书宋_GBK"/>
              </w:rPr>
            </w:pPr>
            <w:r>
              <w:t>资金发放及时率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40" w:type="dxa"/>
            <w:shd w:val="clear" w:color="auto" w:fill="auto"/>
            <w:noWrap w:val="0"/>
            <w:vAlign w:val="center"/>
          </w:tcPr>
          <w:p>
            <w:pPr>
              <w:spacing w:line="300" w:lineRule="exact"/>
              <w:jc w:val="left"/>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每个社区的平均成本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≤20万元</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改善居民生活环境</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居民生活环境的改善情况</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调查中满意和较满意的居民人数占全部调查人数的比率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8</w:t>
      </w:r>
      <w:r>
        <w:rPr>
          <w:rFonts w:hint="eastAsia" w:ascii="方正仿宋_GBK" w:eastAsia="方正仿宋_GBK"/>
          <w:b/>
          <w:sz w:val="28"/>
        </w:rPr>
        <w:t>、社区工作运行经费绩效目标表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1.通过落实本单位社区工作人员工资保险及各项待遇，达到保障街道整体工作顺利开展的目的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65"/>
        <w:gridCol w:w="2940"/>
        <w:gridCol w:w="1140"/>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工资发放人员数量</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社区工作人员数量</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210</w:t>
            </w:r>
            <w:r>
              <w:rPr>
                <w:rFonts w:hint="eastAsia" w:ascii="方正书宋_GBK" w:eastAsia="方正书宋_GBK"/>
              </w:rPr>
              <w:t>人</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落实人员待遇比率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落实待遇人员数占总人数的比率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项目实施人均成本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≤3.87万元/人</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对居委会工作正常开展的</w:t>
            </w:r>
            <w:r>
              <w:rPr>
                <w:rFonts w:hint="eastAsia" w:ascii="方正书宋_GBK" w:eastAsia="方正书宋_GBK"/>
                <w:lang w:eastAsia="zh-CN"/>
              </w:rPr>
              <w:t>影响</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保障居委会工作正常顺利开展</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积极影响</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调查中满意和较满意的工作人员人数占全部调查人数的比率</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9</w:t>
      </w:r>
      <w:r>
        <w:rPr>
          <w:rFonts w:hint="eastAsia" w:ascii="方正仿宋_GBK" w:eastAsia="方正仿宋_GBK"/>
          <w:b/>
          <w:sz w:val="28"/>
        </w:rPr>
        <w:t>、行政综合服务中心专项经费绩效目标表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1.通过保障政务服务窗口正常运行，提高窗口工作服务质量，达到实现政务服务升级战略，方便群众办理业务，提高居民满意度的目的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52"/>
        <w:gridCol w:w="1950"/>
        <w:gridCol w:w="2955"/>
        <w:gridCol w:w="1125"/>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5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政务外网数量</w:t>
            </w:r>
          </w:p>
        </w:tc>
        <w:tc>
          <w:tcPr>
            <w:tcW w:w="29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行政服务政务外网数量</w:t>
            </w:r>
          </w:p>
        </w:tc>
        <w:tc>
          <w:tcPr>
            <w:tcW w:w="1125"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13条</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综合服务中心业务管理工作完成率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实际完成业务管理工作占应完成业务管理工作的比率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政务外网</w:t>
            </w:r>
            <w:r>
              <w:rPr>
                <w:rFonts w:hint="eastAsia" w:ascii="方正书宋_GBK" w:eastAsia="方正书宋_GBK"/>
              </w:rPr>
              <w:t>平均运行成本</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政务外网</w:t>
            </w:r>
            <w:r>
              <w:rPr>
                <w:rFonts w:hint="eastAsia" w:ascii="方正书宋_GBK" w:eastAsia="方正书宋_GBK"/>
              </w:rPr>
              <w:t>运行成本情况</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0.16</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提升工作人员服务水平</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项目实施对工作人员服务水平的提升程度</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办事群众满意度</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办事群众中满意和较满意的人数占总人数的比率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10</w:t>
      </w:r>
      <w:r>
        <w:rPr>
          <w:rFonts w:hint="eastAsia" w:ascii="方正仿宋_GBK" w:eastAsia="方正仿宋_GBK"/>
          <w:b/>
          <w:sz w:val="28"/>
        </w:rPr>
        <w:t>、综合执法队工作经费绩效目标表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1.通过保障执法队日常工作经费及专用设备购置，达到提升综合执法队城市精细化管理、强化整治力度、实现市容市貌大改观的目的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80"/>
        <w:gridCol w:w="2955"/>
        <w:gridCol w:w="1110"/>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hint="eastAsia" w:ascii="方正书宋_GBK" w:eastAsia="方正书宋_GBK"/>
                <w:lang w:eastAsia="zh-CN"/>
              </w:rPr>
            </w:pPr>
            <w:r>
              <w:rPr>
                <w:rFonts w:ascii="方正书宋_GBK" w:eastAsia="方正书宋_GBK"/>
              </w:rPr>
              <w:t>执法覆盖社区</w:t>
            </w:r>
            <w:r>
              <w:rPr>
                <w:rFonts w:hint="eastAsia" w:ascii="方正书宋_GBK" w:eastAsia="方正书宋_GBK"/>
                <w:lang w:eastAsia="zh-CN"/>
              </w:rPr>
              <w:t>数量</w:t>
            </w:r>
          </w:p>
        </w:tc>
        <w:tc>
          <w:tcPr>
            <w:tcW w:w="29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执法覆盖社区</w:t>
            </w:r>
            <w:r>
              <w:rPr>
                <w:rFonts w:hint="eastAsia" w:ascii="方正书宋_GBK" w:eastAsia="方正书宋_GBK"/>
                <w:lang w:eastAsia="zh-CN"/>
              </w:rPr>
              <w:t>数量</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12</w:t>
            </w:r>
            <w:r>
              <w:rPr>
                <w:rFonts w:hint="eastAsia" w:ascii="方正书宋_GBK" w:eastAsia="方正书宋_GBK"/>
              </w:rPr>
              <w:t>人</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宋体"/>
                <w:lang w:eastAsia="zh-CN"/>
              </w:rPr>
            </w:pPr>
            <w:r>
              <w:rPr>
                <w:rFonts w:ascii="方正书宋_GBK" w:eastAsia="方正书宋_GBK"/>
              </w:rPr>
              <w:t>社区工作</w:t>
            </w:r>
            <w:r>
              <w:rPr>
                <w:rFonts w:hint="eastAsia" w:ascii="方正书宋_GBK" w:eastAsia="方正书宋_GBK"/>
                <w:lang w:eastAsia="zh-CN"/>
              </w:rPr>
              <w:t>完成率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实际完成社区工作占应完成社区工作的比率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平均</w:t>
            </w:r>
            <w:r>
              <w:rPr>
                <w:rFonts w:hint="eastAsia" w:ascii="方正书宋_GBK" w:eastAsia="方正书宋_GBK"/>
              </w:rPr>
              <w:t>成本</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每个社区平均成本</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≤1万元</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提升综合执法队城市精细化管理水</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综合执法队城市精细化管理水平提升程度</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执法队工作人员满意度（</w:t>
            </w:r>
            <w:r>
              <w:rPr>
                <w:rFonts w:ascii="方正书宋_GBK" w:eastAsia="方正书宋_GBK"/>
              </w:rPr>
              <w:t>%</w:t>
            </w:r>
            <w:r>
              <w:rPr>
                <w:rFonts w:hint="eastAsia" w:ascii="方正书宋_GBK" w:eastAsia="方正书宋_GBK"/>
              </w:rPr>
              <w:t>）</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调查中满意和较满意的执法队工作人数占全部调查人数的比率</w:t>
            </w:r>
          </w:p>
        </w:tc>
        <w:tc>
          <w:tcPr>
            <w:tcW w:w="11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1</w:t>
      </w:r>
      <w:r>
        <w:rPr>
          <w:rFonts w:hint="eastAsia" w:ascii="方正仿宋_GBK" w:eastAsia="方正仿宋_GBK"/>
          <w:b/>
          <w:sz w:val="28"/>
        </w:rPr>
        <w:t>、租赁费绩效目标表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1.通过视频会议系统的使用及社区及文化站房屋的租赁，达到减轻基层负担，提升会议效率，确保居委会及街道各项工作顺利开展的目的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80"/>
        <w:gridCol w:w="2940"/>
        <w:gridCol w:w="1140"/>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系统租赁数量</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网络系统租赁数量</w:t>
            </w:r>
          </w:p>
        </w:tc>
        <w:tc>
          <w:tcPr>
            <w:tcW w:w="1140" w:type="dxa"/>
            <w:shd w:val="clear" w:color="auto" w:fill="auto"/>
            <w:noWrap w:val="0"/>
            <w:vAlign w:val="center"/>
          </w:tcPr>
          <w:p>
            <w:pPr>
              <w:spacing w:line="300" w:lineRule="exact"/>
              <w:jc w:val="left"/>
              <w:rPr>
                <w:rFonts w:hint="eastAsia" w:ascii="方正书宋_GBK" w:eastAsia="方正书宋_GBK"/>
                <w:lang w:eastAsia="zh-CN"/>
              </w:rPr>
            </w:pPr>
            <w:r>
              <w:rPr>
                <w:rFonts w:ascii="方正书宋_GBK" w:eastAsia="方正书宋_GBK"/>
              </w:rPr>
              <w:t>2</w:t>
            </w:r>
            <w:r>
              <w:rPr>
                <w:rFonts w:hint="eastAsia" w:ascii="方正书宋_GBK" w:eastAsia="方正书宋_GBK"/>
                <w:lang w:eastAsia="zh-CN"/>
              </w:rPr>
              <w:t>条</w:t>
            </w:r>
          </w:p>
        </w:tc>
        <w:tc>
          <w:tcPr>
            <w:tcW w:w="5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街道及社区各项工作完成率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租赁费支付及时率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房屋及视频会议系统租赁费支付完成及时情况</w:t>
            </w:r>
          </w:p>
        </w:tc>
        <w:tc>
          <w:tcPr>
            <w:tcW w:w="114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系统租赁成本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网络系统租赁成本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9.02</w:t>
            </w:r>
            <w:r>
              <w:rPr>
                <w:rFonts w:hint="eastAsia" w:ascii="方正书宋_GBK" w:eastAsia="方正书宋_GBK"/>
              </w:rPr>
              <w:t>万元</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提高服务水平</w:t>
            </w:r>
          </w:p>
        </w:tc>
        <w:tc>
          <w:tcPr>
            <w:tcW w:w="29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保证社区及街道工作正常开展，提高为居民办事效率及会议效率</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明显提高</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社区及街道人员满意度</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调查中社区及街道人员满意和较满意人数占调查人数的比率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12</w:t>
      </w:r>
      <w:r>
        <w:rPr>
          <w:rFonts w:hint="eastAsia" w:ascii="方正仿宋_GBK" w:eastAsia="方正仿宋_GBK"/>
          <w:b/>
          <w:sz w:val="28"/>
        </w:rPr>
        <w:t>、2022年国有企业退休人员社会化管理省级财政补助资金绩效目标表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1.通过国有企业退休人员社会化管理省级财政补助资金的顺利发放，达到推进国有企业退休人员社会化管理服务工作的目的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80"/>
        <w:gridCol w:w="2940"/>
        <w:gridCol w:w="1140"/>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资金服务人数</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资金服务的国有企业退休人员数</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171</w:t>
            </w:r>
            <w:r>
              <w:rPr>
                <w:rFonts w:hint="eastAsia" w:ascii="方正书宋_GBK" w:eastAsia="方正书宋_GBK"/>
              </w:rPr>
              <w:t>人</w:t>
            </w:r>
          </w:p>
        </w:tc>
        <w:tc>
          <w:tcPr>
            <w:tcW w:w="5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实际完成业务工作占应完成业务工作的比率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人均补助金额</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项目实施人均成本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≤39元</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提升退休人员保障和服务水平</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国有企业退休人员满意度（</w:t>
            </w:r>
            <w:r>
              <w:rPr>
                <w:rFonts w:ascii="方正书宋_GBK" w:eastAsia="方正书宋_GBK"/>
              </w:rPr>
              <w:t>%</w:t>
            </w:r>
            <w:r>
              <w:rPr>
                <w:rFonts w:hint="eastAsia" w:ascii="方正书宋_GBK" w:eastAsia="方正书宋_GBK"/>
              </w:rPr>
              <w:t>）</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hAnsi="宋体" w:eastAsia="方正仿宋_GBK"/>
          <w:b/>
          <w:sz w:val="28"/>
        </w:rPr>
      </w:pPr>
      <w:r>
        <w:rPr>
          <w:rFonts w:hint="eastAsia" w:ascii="方正仿宋_GBK" w:eastAsia="方正仿宋_GBK"/>
          <w:b/>
          <w:sz w:val="28"/>
          <w:lang w:val="en-US" w:eastAsia="zh-CN"/>
        </w:rPr>
        <w:t>13</w:t>
      </w:r>
      <w:r>
        <w:rPr>
          <w:rFonts w:hint="eastAsia" w:ascii="方正仿宋_GBK" w:eastAsia="方正仿宋_GBK"/>
          <w:b/>
          <w:sz w:val="28"/>
        </w:rPr>
        <w:t>、2022年国有企业退休人员社会化管理中央财政补助资金绩效目标表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1.通过国有企业退休人员社会化管理中央财政补助资金的顺利发放，达到推进国有企业退休人员社会化管理服务工作的目的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95"/>
        <w:gridCol w:w="2940"/>
        <w:gridCol w:w="1125"/>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资金服务人数</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资金服务的国有企业退休人员数</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171</w:t>
            </w:r>
            <w:r>
              <w:rPr>
                <w:rFonts w:hint="eastAsia" w:ascii="方正书宋_GBK" w:eastAsia="方正书宋_GBK"/>
              </w:rPr>
              <w:t>人</w:t>
            </w:r>
          </w:p>
        </w:tc>
        <w:tc>
          <w:tcPr>
            <w:tcW w:w="5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实际完成业务工作占应完成业务工作的比率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9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人均成本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人均成本</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≤179元</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提升退休人员保障和服务水平</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国有企业退休人员满意度（</w:t>
            </w:r>
            <w:r>
              <w:rPr>
                <w:rFonts w:ascii="方正书宋_GBK" w:eastAsia="方正书宋_GBK"/>
              </w:rPr>
              <w:t>%</w:t>
            </w:r>
            <w:r>
              <w:rPr>
                <w:rFonts w:hint="eastAsia" w:ascii="方正书宋_GBK" w:eastAsia="方正书宋_GBK"/>
              </w:rPr>
              <w:t>）</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4</w:t>
      </w:r>
      <w:r>
        <w:rPr>
          <w:rFonts w:hint="eastAsia" w:ascii="方正仿宋_GBK" w:eastAsia="方正仿宋_GBK"/>
          <w:b/>
          <w:sz w:val="28"/>
        </w:rPr>
        <w:t>、2022年基础设施改造及维修工程绩效目标表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1.通过铺设排水管道，硬化路面，新建排水沟、污水池，安装路灯，建设文化墙等，达到有效改善居安院基础设施，方便居民日常出行，美化社区环境，提升居民满意度，促进社区和谐发展的目的。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67"/>
        <w:gridCol w:w="2100"/>
        <w:gridCol w:w="2805"/>
        <w:gridCol w:w="1125"/>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6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6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排水沟数量</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eastAsia="zh-CN"/>
              </w:rPr>
              <w:t>排水沟数量</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≤250延米</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00" w:type="dxa"/>
            <w:shd w:val="clear" w:color="auto" w:fill="auto"/>
            <w:noWrap w:val="0"/>
            <w:vAlign w:val="center"/>
          </w:tcPr>
          <w:p>
            <w:pPr>
              <w:pStyle w:val="14"/>
              <w:rPr>
                <w:rFonts w:hint="eastAsia" w:ascii="方正书宋_GBK" w:eastAsia="方正书宋_GBK"/>
              </w:rPr>
            </w:pPr>
            <w:r>
              <w:t>资金拨付及时率（%）</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排水沟平均成本</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排水沟平均成本</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≤540元</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eastAsia="zh-CN"/>
              </w:rPr>
              <w:t>有效改善</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15</w:t>
      </w:r>
      <w:r>
        <w:rPr>
          <w:rFonts w:hint="eastAsia" w:ascii="方正仿宋_GBK" w:eastAsia="方正仿宋_GBK"/>
          <w:b/>
          <w:sz w:val="28"/>
        </w:rPr>
        <w:t>、鼎盛东街道铁路沿线环境改造工程绩效目标表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1.通过完成硬化路面，粉刷墙面，铺设排水管道，栽植花灌木，安装太阳能路灯等，达到确保铁路沿线环境安全整洁，方便居民日常出行，不断提高铁路沿线居民生活幸福指数的目的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82"/>
        <w:gridCol w:w="2085"/>
        <w:gridCol w:w="2805"/>
        <w:gridCol w:w="1155"/>
        <w:gridCol w:w="50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墙面抹灰数量</w:t>
            </w:r>
          </w:p>
        </w:tc>
        <w:tc>
          <w:tcPr>
            <w:tcW w:w="2805" w:type="dxa"/>
            <w:shd w:val="clear" w:color="auto" w:fill="auto"/>
            <w:noWrap w:val="0"/>
            <w:vAlign w:val="center"/>
          </w:tcPr>
          <w:p>
            <w:pPr>
              <w:spacing w:line="300" w:lineRule="exact"/>
              <w:jc w:val="left"/>
              <w:rPr>
                <w:rFonts w:ascii="方正书宋_GBK" w:eastAsia="方正书宋_GBK"/>
              </w:rPr>
            </w:pPr>
            <w:r>
              <w:t>墙面抹灰数量</w:t>
            </w:r>
          </w:p>
        </w:tc>
        <w:tc>
          <w:tcPr>
            <w:tcW w:w="11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≤5200平方米</w:t>
            </w:r>
          </w:p>
        </w:tc>
        <w:tc>
          <w:tcPr>
            <w:tcW w:w="50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5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rPr>
            </w:pPr>
            <w:r>
              <w:t>墙面抹灰单位成本</w:t>
            </w:r>
          </w:p>
        </w:tc>
        <w:tc>
          <w:tcPr>
            <w:tcW w:w="2805" w:type="dxa"/>
            <w:shd w:val="clear" w:color="auto" w:fill="auto"/>
            <w:noWrap w:val="0"/>
            <w:vAlign w:val="center"/>
          </w:tcPr>
          <w:p>
            <w:pPr>
              <w:spacing w:line="300" w:lineRule="exact"/>
              <w:jc w:val="left"/>
              <w:rPr>
                <w:rFonts w:hint="eastAsia" w:ascii="方正书宋_GBK" w:eastAsia="方正书宋_GBK"/>
              </w:rPr>
            </w:pPr>
            <w:r>
              <w:t>墙面抹灰单位成本</w:t>
            </w:r>
          </w:p>
        </w:tc>
        <w:tc>
          <w:tcPr>
            <w:tcW w:w="1155" w:type="dxa"/>
            <w:shd w:val="clear" w:color="auto" w:fill="auto"/>
            <w:noWrap w:val="0"/>
            <w:vAlign w:val="center"/>
          </w:tcPr>
          <w:p>
            <w:pPr>
              <w:spacing w:line="300" w:lineRule="exact"/>
              <w:jc w:val="left"/>
              <w:rPr>
                <w:rFonts w:ascii="方正书宋_GBK" w:eastAsia="方正书宋_GBK"/>
              </w:rPr>
            </w:pPr>
            <w:r>
              <w:t>≤70元</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11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隐患消除项数</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通过维护改造，消除安全隐患的情况</w:t>
            </w:r>
          </w:p>
        </w:tc>
        <w:tc>
          <w:tcPr>
            <w:tcW w:w="115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效果显著</w:t>
            </w:r>
          </w:p>
        </w:tc>
        <w:tc>
          <w:tcPr>
            <w:tcW w:w="503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11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16</w:t>
      </w:r>
      <w:r>
        <w:rPr>
          <w:rFonts w:hint="eastAsia" w:ascii="方正仿宋_GBK" w:eastAsia="方正仿宋_GBK"/>
          <w:b/>
          <w:sz w:val="28"/>
        </w:rPr>
        <w:t>、鼎盛商贸街小区楼顶防水、道路修复和路灯安装项目绩效目标表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1.通过修补楼顶防水、修复小区内侧破损道路、安装太阳能灯，进一步改善鼎盛商贸街小区人居环境，不断提高小区居民生活幸福指数</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97"/>
        <w:gridCol w:w="2085"/>
        <w:gridCol w:w="2775"/>
        <w:gridCol w:w="1185"/>
        <w:gridCol w:w="5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路灯数量</w:t>
            </w:r>
          </w:p>
        </w:tc>
        <w:tc>
          <w:tcPr>
            <w:tcW w:w="277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路灯数量</w:t>
            </w:r>
          </w:p>
        </w:tc>
        <w:tc>
          <w:tcPr>
            <w:tcW w:w="1185"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46套</w:t>
            </w:r>
          </w:p>
        </w:tc>
        <w:tc>
          <w:tcPr>
            <w:tcW w:w="50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路灯成本</w:t>
            </w:r>
          </w:p>
        </w:tc>
        <w:tc>
          <w:tcPr>
            <w:tcW w:w="277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路灯成本</w:t>
            </w:r>
          </w:p>
        </w:tc>
        <w:tc>
          <w:tcPr>
            <w:tcW w:w="1185" w:type="dxa"/>
            <w:shd w:val="clear" w:color="auto" w:fill="auto"/>
            <w:noWrap w:val="0"/>
            <w:vAlign w:val="center"/>
          </w:tcPr>
          <w:p>
            <w:pPr>
              <w:spacing w:line="300" w:lineRule="exact"/>
              <w:jc w:val="left"/>
              <w:rPr>
                <w:rFonts w:ascii="方正书宋_GBK" w:eastAsia="方正书宋_GBK"/>
              </w:rPr>
            </w:pPr>
            <w:r>
              <w:t>≤12万元</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11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群众</w:t>
            </w:r>
            <w:r>
              <w:rPr>
                <w:rFonts w:hint="eastAsia" w:ascii="方正书宋_GBK" w:eastAsia="方正书宋_GBK"/>
              </w:rPr>
              <w:t>满意度</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11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7</w:t>
      </w:r>
      <w:r>
        <w:rPr>
          <w:rFonts w:hint="eastAsia" w:ascii="方正仿宋_GBK" w:eastAsia="方正仿宋_GBK"/>
          <w:b/>
          <w:sz w:val="28"/>
        </w:rPr>
        <w:t>、综合行政执法队办公用房装修工程绩效目标表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1.通过综合行政执法队办公用房装修，提升了办公环境质量，提高了为群众服务水平。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97"/>
        <w:gridCol w:w="2085"/>
        <w:gridCol w:w="2790"/>
        <w:gridCol w:w="1185"/>
        <w:gridCol w:w="5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室内粉刷平米数</w:t>
            </w:r>
          </w:p>
        </w:tc>
        <w:tc>
          <w:tcPr>
            <w:tcW w:w="27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室内粉刷平米数</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≤3900平方米</w:t>
            </w:r>
          </w:p>
        </w:tc>
        <w:tc>
          <w:tcPr>
            <w:tcW w:w="50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8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室内粉刷成本</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室内粉刷成本</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≤11.6万元</w:t>
            </w:r>
          </w:p>
        </w:tc>
        <w:tc>
          <w:tcPr>
            <w:tcW w:w="50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提升办公环境质量，提高服务水平</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提升办公环境质量，提高服务水平</w:t>
            </w:r>
          </w:p>
        </w:tc>
        <w:tc>
          <w:tcPr>
            <w:tcW w:w="11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工作人员</w:t>
            </w:r>
            <w:r>
              <w:rPr>
                <w:rFonts w:hint="eastAsia" w:ascii="方正书宋_GBK" w:eastAsia="方正书宋_GBK"/>
              </w:rPr>
              <w:t>满意度</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调查中满意和较满意的人员人数占全部调查人数的比率</w:t>
            </w:r>
          </w:p>
        </w:tc>
        <w:tc>
          <w:tcPr>
            <w:tcW w:w="11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8</w:t>
      </w:r>
      <w:r>
        <w:rPr>
          <w:rFonts w:hint="eastAsia" w:ascii="方正仿宋_GBK" w:eastAsia="方正仿宋_GBK"/>
          <w:b/>
          <w:sz w:val="28"/>
        </w:rPr>
        <w:t>、2020-2021年国有企业退休人员社会化管理财政补助资金绩效目标表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通过国有企业退休人员社会化管理财政补助资金的顺利发放，达到推进国有企业退休人员社会化管理服务工作的目的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712"/>
        <w:gridCol w:w="2085"/>
        <w:gridCol w:w="2760"/>
        <w:gridCol w:w="1200"/>
        <w:gridCol w:w="5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27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补助的国企退休人员人数</w:t>
            </w:r>
          </w:p>
        </w:tc>
        <w:tc>
          <w:tcPr>
            <w:tcW w:w="1200"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171人</w:t>
            </w:r>
          </w:p>
        </w:tc>
        <w:tc>
          <w:tcPr>
            <w:tcW w:w="500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完成的工作占应完成工作的比率</w:t>
            </w:r>
          </w:p>
        </w:tc>
        <w:tc>
          <w:tcPr>
            <w:tcW w:w="120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资金及时拨付的月数</w:t>
            </w:r>
          </w:p>
        </w:tc>
        <w:tc>
          <w:tcPr>
            <w:tcW w:w="1200"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12月</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补助金的人均成本</w:t>
            </w:r>
          </w:p>
        </w:tc>
        <w:tc>
          <w:tcPr>
            <w:tcW w:w="1200"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200元</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提升国有企业退休人员保障和服务水平</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120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国企退休人员满意度</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12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45</w:t>
      </w:r>
      <w:r>
        <w:rPr>
          <w:rFonts w:ascii="Times New Roman" w:hAnsi="Times New Roman" w:eastAsia="仿宋_GB2312" w:cs="Times New Roman"/>
          <w:sz w:val="32"/>
          <w:szCs w:val="24"/>
        </w:rPr>
        <w:t>万元。具体内容见下表。</w:t>
      </w:r>
    </w:p>
    <w:bookmarkEnd w:id="0"/>
    <w:p>
      <w:pPr>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outlineLvl w:val="1"/>
        <w:rPr>
          <w:rFonts w:ascii="方正小标宋_GBK" w:eastAsia="方正小标宋_GBK" w:cs="Times New Roman"/>
          <w:sz w:val="32"/>
        </w:rPr>
      </w:pPr>
      <w:r>
        <w:rPr>
          <w:rFonts w:hint="eastAsia"/>
          <w:lang w:eastAsia="zh-CN"/>
        </w:rPr>
        <w:t>三河</w:t>
      </w:r>
      <w:r>
        <w:t>市</w:t>
      </w:r>
      <w:r>
        <w:rPr>
          <w:rFonts w:hint="eastAsia"/>
          <w:lang w:eastAsia="zh-CN"/>
        </w:rPr>
        <w:t>鼎盛东街道办事处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5"/>
        <w:gridCol w:w="675"/>
        <w:gridCol w:w="1170"/>
        <w:gridCol w:w="1230"/>
        <w:gridCol w:w="660"/>
        <w:gridCol w:w="705"/>
        <w:gridCol w:w="645"/>
        <w:gridCol w:w="692"/>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00" w:type="dxa"/>
            <w:gridSpan w:val="2"/>
            <w:vAlign w:val="center"/>
          </w:tcPr>
          <w:p>
            <w:pPr>
              <w:pStyle w:val="12"/>
            </w:pPr>
            <w:r>
              <w:t>政府采购项目来源</w:t>
            </w:r>
          </w:p>
        </w:tc>
        <w:tc>
          <w:tcPr>
            <w:tcW w:w="1170" w:type="dxa"/>
            <w:vMerge w:val="restart"/>
            <w:vAlign w:val="center"/>
          </w:tcPr>
          <w:p>
            <w:pPr>
              <w:pStyle w:val="12"/>
            </w:pPr>
            <w:r>
              <w:t>采购物品名称</w:t>
            </w:r>
          </w:p>
        </w:tc>
        <w:tc>
          <w:tcPr>
            <w:tcW w:w="1230" w:type="dxa"/>
            <w:vMerge w:val="restart"/>
            <w:vAlign w:val="center"/>
          </w:tcPr>
          <w:p>
            <w:pPr>
              <w:pStyle w:val="12"/>
            </w:pPr>
            <w:r>
              <w:t>政府采购目录序号</w:t>
            </w:r>
          </w:p>
        </w:tc>
        <w:tc>
          <w:tcPr>
            <w:tcW w:w="660" w:type="dxa"/>
            <w:vMerge w:val="restart"/>
            <w:vAlign w:val="center"/>
          </w:tcPr>
          <w:p>
            <w:pPr>
              <w:pStyle w:val="12"/>
            </w:pPr>
            <w:r>
              <w:t>计量  单位</w:t>
            </w:r>
          </w:p>
        </w:tc>
        <w:tc>
          <w:tcPr>
            <w:tcW w:w="705" w:type="dxa"/>
            <w:vMerge w:val="restart"/>
            <w:vAlign w:val="center"/>
          </w:tcPr>
          <w:p>
            <w:pPr>
              <w:pStyle w:val="12"/>
            </w:pPr>
            <w:r>
              <w:t>数量</w:t>
            </w:r>
          </w:p>
        </w:tc>
        <w:tc>
          <w:tcPr>
            <w:tcW w:w="645" w:type="dxa"/>
            <w:vMerge w:val="restart"/>
            <w:vAlign w:val="center"/>
          </w:tcPr>
          <w:p>
            <w:pPr>
              <w:pStyle w:val="12"/>
            </w:pPr>
            <w:r>
              <w:t>单价</w:t>
            </w:r>
          </w:p>
        </w:tc>
        <w:tc>
          <w:tcPr>
            <w:tcW w:w="744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25" w:type="dxa"/>
            <w:vAlign w:val="center"/>
          </w:tcPr>
          <w:p>
            <w:pPr>
              <w:pStyle w:val="12"/>
            </w:pPr>
            <w:r>
              <w:t>项目名称</w:t>
            </w:r>
          </w:p>
        </w:tc>
        <w:tc>
          <w:tcPr>
            <w:tcW w:w="675" w:type="dxa"/>
            <w:vAlign w:val="center"/>
          </w:tcPr>
          <w:p>
            <w:pPr>
              <w:pStyle w:val="12"/>
            </w:pPr>
            <w:r>
              <w:t>预算    资金</w:t>
            </w:r>
          </w:p>
        </w:tc>
        <w:tc>
          <w:tcPr>
            <w:tcW w:w="1170" w:type="dxa"/>
            <w:vMerge w:val="continue"/>
          </w:tcPr>
          <w:p/>
        </w:tc>
        <w:tc>
          <w:tcPr>
            <w:tcW w:w="1230" w:type="dxa"/>
            <w:vMerge w:val="continue"/>
          </w:tcPr>
          <w:p/>
        </w:tc>
        <w:tc>
          <w:tcPr>
            <w:tcW w:w="660" w:type="dxa"/>
            <w:vMerge w:val="continue"/>
          </w:tcPr>
          <w:p/>
        </w:tc>
        <w:tc>
          <w:tcPr>
            <w:tcW w:w="705" w:type="dxa"/>
            <w:vMerge w:val="continue"/>
          </w:tcPr>
          <w:p/>
        </w:tc>
        <w:tc>
          <w:tcPr>
            <w:tcW w:w="645" w:type="dxa"/>
            <w:vMerge w:val="continue"/>
          </w:tcPr>
          <w:p/>
        </w:tc>
        <w:tc>
          <w:tcPr>
            <w:tcW w:w="692"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5" w:type="dxa"/>
            <w:vAlign w:val="center"/>
          </w:tcPr>
          <w:p>
            <w:pPr>
              <w:pStyle w:val="16"/>
            </w:pPr>
            <w:r>
              <w:t>合  计</w:t>
            </w:r>
          </w:p>
        </w:tc>
        <w:tc>
          <w:tcPr>
            <w:tcW w:w="675" w:type="dxa"/>
            <w:vAlign w:val="center"/>
          </w:tcPr>
          <w:p>
            <w:pPr>
              <w:pStyle w:val="17"/>
            </w:pPr>
          </w:p>
        </w:tc>
        <w:tc>
          <w:tcPr>
            <w:tcW w:w="1170" w:type="dxa"/>
            <w:vAlign w:val="center"/>
          </w:tcPr>
          <w:p>
            <w:pPr>
              <w:pStyle w:val="18"/>
            </w:pPr>
          </w:p>
        </w:tc>
        <w:tc>
          <w:tcPr>
            <w:tcW w:w="1230" w:type="dxa"/>
            <w:vAlign w:val="center"/>
          </w:tcPr>
          <w:p>
            <w:pPr>
              <w:pStyle w:val="18"/>
            </w:pPr>
          </w:p>
        </w:tc>
        <w:tc>
          <w:tcPr>
            <w:tcW w:w="660" w:type="dxa"/>
            <w:vAlign w:val="center"/>
          </w:tcPr>
          <w:p>
            <w:pPr>
              <w:pStyle w:val="16"/>
            </w:pPr>
          </w:p>
        </w:tc>
        <w:tc>
          <w:tcPr>
            <w:tcW w:w="705" w:type="dxa"/>
            <w:vAlign w:val="center"/>
          </w:tcPr>
          <w:p>
            <w:pPr>
              <w:pStyle w:val="17"/>
            </w:pPr>
          </w:p>
        </w:tc>
        <w:tc>
          <w:tcPr>
            <w:tcW w:w="645" w:type="dxa"/>
            <w:vAlign w:val="center"/>
          </w:tcPr>
          <w:p>
            <w:pPr>
              <w:pStyle w:val="17"/>
            </w:pPr>
          </w:p>
        </w:tc>
        <w:tc>
          <w:tcPr>
            <w:tcW w:w="692"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5" w:type="dxa"/>
            <w:vAlign w:val="center"/>
          </w:tcPr>
          <w:p>
            <w:pPr>
              <w:pStyle w:val="16"/>
            </w:pPr>
            <w:r>
              <w:t>三河市鼎盛东街道办事处本级小计</w:t>
            </w:r>
          </w:p>
        </w:tc>
        <w:tc>
          <w:tcPr>
            <w:tcW w:w="675" w:type="dxa"/>
            <w:vAlign w:val="center"/>
          </w:tcPr>
          <w:p>
            <w:pPr>
              <w:pStyle w:val="17"/>
            </w:pPr>
          </w:p>
        </w:tc>
        <w:tc>
          <w:tcPr>
            <w:tcW w:w="1170" w:type="dxa"/>
            <w:vAlign w:val="center"/>
          </w:tcPr>
          <w:p>
            <w:pPr>
              <w:pStyle w:val="18"/>
            </w:pPr>
          </w:p>
        </w:tc>
        <w:tc>
          <w:tcPr>
            <w:tcW w:w="1230" w:type="dxa"/>
            <w:vAlign w:val="center"/>
          </w:tcPr>
          <w:p>
            <w:pPr>
              <w:pStyle w:val="18"/>
            </w:pPr>
          </w:p>
        </w:tc>
        <w:tc>
          <w:tcPr>
            <w:tcW w:w="660" w:type="dxa"/>
            <w:vAlign w:val="center"/>
          </w:tcPr>
          <w:p>
            <w:pPr>
              <w:pStyle w:val="16"/>
            </w:pPr>
          </w:p>
        </w:tc>
        <w:tc>
          <w:tcPr>
            <w:tcW w:w="705" w:type="dxa"/>
            <w:vAlign w:val="center"/>
          </w:tcPr>
          <w:p>
            <w:pPr>
              <w:pStyle w:val="17"/>
            </w:pPr>
          </w:p>
        </w:tc>
        <w:tc>
          <w:tcPr>
            <w:tcW w:w="645" w:type="dxa"/>
            <w:vAlign w:val="center"/>
          </w:tcPr>
          <w:p>
            <w:pPr>
              <w:pStyle w:val="17"/>
            </w:pPr>
          </w:p>
        </w:tc>
        <w:tc>
          <w:tcPr>
            <w:tcW w:w="692"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5" w:type="dxa"/>
            <w:vAlign w:val="center"/>
          </w:tcPr>
          <w:p>
            <w:pPr>
              <w:pStyle w:val="14"/>
            </w:pPr>
            <w:r>
              <w:t>社区党组织服务群众专项经费</w:t>
            </w:r>
          </w:p>
        </w:tc>
        <w:tc>
          <w:tcPr>
            <w:tcW w:w="675" w:type="dxa"/>
            <w:vAlign w:val="center"/>
          </w:tcPr>
          <w:p>
            <w:pPr>
              <w:pStyle w:val="13"/>
              <w:rPr>
                <w:rFonts w:hint="default" w:eastAsia="方正书宋_GBK"/>
                <w:lang w:val="en-US" w:eastAsia="zh-CN"/>
              </w:rPr>
            </w:pPr>
            <w:r>
              <w:rPr>
                <w:rFonts w:hint="eastAsia"/>
                <w:lang w:val="en-US" w:eastAsia="zh-CN"/>
              </w:rPr>
              <w:t>240</w:t>
            </w:r>
          </w:p>
        </w:tc>
        <w:tc>
          <w:tcPr>
            <w:tcW w:w="1170" w:type="dxa"/>
            <w:vAlign w:val="center"/>
          </w:tcPr>
          <w:p>
            <w:pPr>
              <w:pStyle w:val="14"/>
            </w:pPr>
            <w:r>
              <w:t>群众文化活动服务</w:t>
            </w:r>
          </w:p>
        </w:tc>
        <w:tc>
          <w:tcPr>
            <w:tcW w:w="1230" w:type="dxa"/>
            <w:vAlign w:val="center"/>
          </w:tcPr>
          <w:p>
            <w:pPr>
              <w:pStyle w:val="14"/>
            </w:pPr>
            <w:r>
              <w:t>C200307</w:t>
            </w:r>
          </w:p>
        </w:tc>
        <w:tc>
          <w:tcPr>
            <w:tcW w:w="660" w:type="dxa"/>
            <w:vAlign w:val="center"/>
          </w:tcPr>
          <w:p>
            <w:pPr>
              <w:pStyle w:val="15"/>
            </w:pPr>
            <w:r>
              <w:t>项</w:t>
            </w:r>
          </w:p>
        </w:tc>
        <w:tc>
          <w:tcPr>
            <w:tcW w:w="705" w:type="dxa"/>
            <w:vAlign w:val="center"/>
          </w:tcPr>
          <w:p>
            <w:pPr>
              <w:pStyle w:val="13"/>
              <w:jc w:val="center"/>
              <w:rPr>
                <w:rFonts w:hint="eastAsia" w:eastAsia="方正书宋_GBK"/>
                <w:lang w:val="en-US" w:eastAsia="zh-CN"/>
              </w:rPr>
            </w:pPr>
            <w:r>
              <w:rPr>
                <w:rFonts w:hint="eastAsia"/>
                <w:lang w:val="en-US" w:eastAsia="zh-CN"/>
              </w:rPr>
              <w:t>1</w:t>
            </w:r>
          </w:p>
        </w:tc>
        <w:tc>
          <w:tcPr>
            <w:tcW w:w="645" w:type="dxa"/>
            <w:vAlign w:val="center"/>
          </w:tcPr>
          <w:p>
            <w:pPr>
              <w:pStyle w:val="13"/>
              <w:rPr>
                <w:rFonts w:hint="default" w:eastAsia="方正书宋_GBK"/>
                <w:lang w:val="en-US" w:eastAsia="zh-CN"/>
              </w:rPr>
            </w:pPr>
            <w:r>
              <w:rPr>
                <w:rFonts w:hint="eastAsia"/>
                <w:lang w:val="en-US" w:eastAsia="zh-CN"/>
              </w:rPr>
              <w:t>45</w:t>
            </w:r>
          </w:p>
        </w:tc>
        <w:tc>
          <w:tcPr>
            <w:tcW w:w="692" w:type="dxa"/>
            <w:vAlign w:val="center"/>
          </w:tcPr>
          <w:p>
            <w:pPr>
              <w:pStyle w:val="13"/>
              <w:rPr>
                <w:rFonts w:hint="default" w:eastAsia="方正书宋_GBK"/>
                <w:lang w:val="en-US" w:eastAsia="zh-CN"/>
              </w:rPr>
            </w:pPr>
            <w:r>
              <w:rPr>
                <w:rFonts w:hint="eastAsia"/>
                <w:lang w:val="en-US" w:eastAsia="zh-CN"/>
              </w:rPr>
              <w:t>45</w:t>
            </w:r>
          </w:p>
        </w:tc>
        <w:tc>
          <w:tcPr>
            <w:tcW w:w="964" w:type="dxa"/>
            <w:vAlign w:val="center"/>
          </w:tcPr>
          <w:p>
            <w:pPr>
              <w:pStyle w:val="13"/>
              <w:rPr>
                <w:rFonts w:hint="default" w:eastAsia="方正书宋_GBK"/>
                <w:lang w:val="en-US" w:eastAsia="zh-CN"/>
              </w:rPr>
            </w:pPr>
            <w:r>
              <w:rPr>
                <w:rFonts w:hint="eastAsia"/>
                <w:lang w:val="en-US" w:eastAsia="zh-CN"/>
              </w:rPr>
              <w:t>45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45</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839.07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28.75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办公家具</w:t>
      </w:r>
      <w:r>
        <w:rPr>
          <w:rFonts w:hint="eastAsia" w:ascii="Times New Roman" w:hAnsi="Times New Roman" w:eastAsia="仿宋_GB2312" w:cs="Times New Roman"/>
          <w:sz w:val="32"/>
          <w:szCs w:val="32"/>
          <w:lang w:eastAsia="zh-CN"/>
        </w:rPr>
        <w:t>、公共基础设施</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鼎盛东街道办事处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839.07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322.99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8641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473.58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2FmMTkzODE3ZGE3ZDg2MzFhZTAzZDI5OTY2ZjhlZTAifQ=="/>
  </w:docVars>
  <w:rsids>
    <w:rsidRoot w:val="00D347CC"/>
    <w:rsid w:val="000230E6"/>
    <w:rsid w:val="000E5891"/>
    <w:rsid w:val="0025632D"/>
    <w:rsid w:val="004A54AA"/>
    <w:rsid w:val="005A2FBD"/>
    <w:rsid w:val="00875CF4"/>
    <w:rsid w:val="00901266"/>
    <w:rsid w:val="00944233"/>
    <w:rsid w:val="00B40732"/>
    <w:rsid w:val="00B80935"/>
    <w:rsid w:val="00D347CC"/>
    <w:rsid w:val="03EC7F3C"/>
    <w:rsid w:val="0A7D421F"/>
    <w:rsid w:val="0C946333"/>
    <w:rsid w:val="0EAB2FBA"/>
    <w:rsid w:val="14D468B8"/>
    <w:rsid w:val="1770724E"/>
    <w:rsid w:val="19E813AC"/>
    <w:rsid w:val="1B1B64A4"/>
    <w:rsid w:val="1F552C5C"/>
    <w:rsid w:val="26071CD7"/>
    <w:rsid w:val="29AD20C7"/>
    <w:rsid w:val="37D55E09"/>
    <w:rsid w:val="3AFD2A1C"/>
    <w:rsid w:val="45350C77"/>
    <w:rsid w:val="4E1E1F66"/>
    <w:rsid w:val="56983779"/>
    <w:rsid w:val="58393836"/>
    <w:rsid w:val="5C350BCB"/>
    <w:rsid w:val="645D2200"/>
    <w:rsid w:val="64706A41"/>
    <w:rsid w:val="6A257193"/>
    <w:rsid w:val="6BCA3618"/>
    <w:rsid w:val="6E143332"/>
    <w:rsid w:val="70DD600D"/>
    <w:rsid w:val="7C2D5C29"/>
    <w:rsid w:val="7DD739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37</Pages>
  <Words>15368</Words>
  <Characters>16265</Characters>
  <Lines>23</Lines>
  <Paragraphs>6</Paragraphs>
  <TotalTime>7</TotalTime>
  <ScaleCrop>false</ScaleCrop>
  <LinksUpToDate>false</LinksUpToDate>
  <CharactersWithSpaces>16479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hll288</cp:lastModifiedBy>
  <cp:lastPrinted>2018-01-30T06:12:00Z</cp:lastPrinted>
  <dcterms:modified xsi:type="dcterms:W3CDTF">2023-03-09T03:25:12Z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4E44EDF0EF9F46F78136DEDCDFA20100</vt:lpwstr>
  </property>
</Properties>
</file>